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FB1B" w14:textId="77777777" w:rsidR="00B07E16" w:rsidRPr="00B07E16" w:rsidRDefault="00B07E16" w:rsidP="00B07E16">
      <w:pPr>
        <w:rPr>
          <w:b/>
          <w:bCs/>
          <w:sz w:val="28"/>
          <w:szCs w:val="28"/>
        </w:rPr>
      </w:pPr>
      <w:r w:rsidRPr="00B07E16">
        <w:rPr>
          <w:b/>
          <w:bCs/>
          <w:sz w:val="28"/>
          <w:szCs w:val="28"/>
        </w:rPr>
        <w:t>Remissyttrande: Skatteverkets promemoria Elektronisk inlämning av uppgifter om kupongskatt och möjlighet att förelägga</w:t>
      </w:r>
    </w:p>
    <w:p w14:paraId="40861971" w14:textId="11FDA861" w:rsidR="00B07E16" w:rsidRPr="00B07E16" w:rsidRDefault="00B07E16" w:rsidP="00B07E16">
      <w:pPr>
        <w:rPr>
          <w:b/>
          <w:bCs/>
          <w:i/>
          <w:iCs/>
        </w:rPr>
      </w:pPr>
      <w:r w:rsidRPr="00B07E16">
        <w:rPr>
          <w:b/>
          <w:bCs/>
          <w:i/>
          <w:iCs/>
        </w:rPr>
        <w:t>Företagarna ställer sig positiva till förslag som minskar administrativa pålagor för företag, som innebär besparingar och förenklingar.</w:t>
      </w:r>
    </w:p>
    <w:p w14:paraId="3FE32716" w14:textId="0D53A6A1" w:rsidR="00B07E16" w:rsidRDefault="00B07E16" w:rsidP="00B07E16">
      <w:r>
        <w:t xml:space="preserve">Läs hela remissyttrandet som pdf. </w:t>
      </w:r>
    </w:p>
    <w:p w14:paraId="738AEDB2" w14:textId="4B315DAA" w:rsidR="00B07E16" w:rsidRDefault="00B07E16" w:rsidP="00B07E16">
      <w:r>
        <w:t>I promemorian föreslår Skatteverket att kupongbolag får möjlighet att lämna uppgifter om kupongskatt elektroniskt till Skatteverket. De kupongbolag som föredrar att lämna uppgifter till Skatteverket på papper ska även fortsättningsvis kunna göra det. Skatteverket föreslår vidare att myndigheten ges möjlighet dels att förelägga den som är eller kan antas vara skyldig att lämna uppgifter om kupongskatt att lämna uppgift för kontroll av hans eller hennes uppgiftsskyldighet, dels att förelägga någon annan att lämna uppgift för kontroll av att annan än den som föreläggs har fullgjort sin uppgiftsskyldighet (s.k. tredjemansföreläggande). Bestämmelserna föreslås träda i kraft den 1 januari 2027.</w:t>
      </w:r>
    </w:p>
    <w:p w14:paraId="33CDCA37" w14:textId="77777777" w:rsidR="00B07E16" w:rsidRDefault="00B07E16" w:rsidP="00B07E16">
      <w:r>
        <w:t xml:space="preserve">Företagarna ställer sig positiva till förslag som minskar administrativa pålagor för företag, som innebär besparingar och förenklingar. Vi tillstyrker därför förslagen om möjlighet att lämna uppgifter om kupongskatt elektroniskt och slopandet av de nämnda bestämmelserna om blanketter i enlighet med Skatteverkets förslag. Därtill uppskattar Företagarna att möjlighet att lämna uppgifter på papper behålls. </w:t>
      </w:r>
    </w:p>
    <w:p w14:paraId="78D35FE4" w14:textId="77777777" w:rsidR="00B07E16" w:rsidRDefault="00B07E16" w:rsidP="00B07E16">
      <w:r>
        <w:t>Företagarna har vidare inga invändningar mot att möjlighet till föreläggande, i förekommande fall kombinerat med vite, införs avseende den som är uppgiftsskyldig. Däremot är vi skeptiska till att införa möjlighet till motsvarande föreläggande avseende tredje man, liknande bestämmelserna i skatteförfarandelagen om tredjemansföreläggande, som föreslås i promemorian.</w:t>
      </w:r>
    </w:p>
    <w:p w14:paraId="6012ABB5" w14:textId="77777777" w:rsidR="00B07E16" w:rsidRDefault="00B07E16" w:rsidP="00B07E16">
      <w:r>
        <w:t>I frågan om ikraftträdande anser Företagarna att, för att undvika överimplementering, regeringen bör avvakta med införande av föreläggandemöjlighet tills ny lagstiftning med anledning av EU:s FASTER-direktiv har beslutats.</w:t>
      </w:r>
    </w:p>
    <w:p w14:paraId="47521E96" w14:textId="77777777" w:rsidR="00B07E16" w:rsidRDefault="00B07E16" w:rsidP="00B07E16"/>
    <w:p w14:paraId="6C2FA3C5" w14:textId="77777777" w:rsidR="007A08DE" w:rsidRDefault="007A08DE"/>
    <w:sectPr w:rsidR="007A0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16"/>
    <w:rsid w:val="00146EE9"/>
    <w:rsid w:val="004860D1"/>
    <w:rsid w:val="007A08DE"/>
    <w:rsid w:val="00B07E16"/>
    <w:rsid w:val="00D66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3BFF"/>
  <w15:chartTrackingRefBased/>
  <w15:docId w15:val="{1EF358A8-6D66-41A4-A372-54DCB5A4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16"/>
  </w:style>
  <w:style w:type="paragraph" w:styleId="Rubrik1">
    <w:name w:val="heading 1"/>
    <w:basedOn w:val="Normal"/>
    <w:next w:val="Normal"/>
    <w:link w:val="Rubrik1Char"/>
    <w:uiPriority w:val="9"/>
    <w:qFormat/>
    <w:rsid w:val="00B07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0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07E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07E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07E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07E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7E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7E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7E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7E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07E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07E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07E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07E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07E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7E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7E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7E16"/>
    <w:rPr>
      <w:rFonts w:eastAsiaTheme="majorEastAsia" w:cstheme="majorBidi"/>
      <w:color w:val="272727" w:themeColor="text1" w:themeTint="D8"/>
    </w:rPr>
  </w:style>
  <w:style w:type="paragraph" w:styleId="Rubrik">
    <w:name w:val="Title"/>
    <w:basedOn w:val="Normal"/>
    <w:next w:val="Normal"/>
    <w:link w:val="RubrikChar"/>
    <w:uiPriority w:val="10"/>
    <w:qFormat/>
    <w:rsid w:val="00B0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7E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7E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7E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7E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07E16"/>
    <w:rPr>
      <w:i/>
      <w:iCs/>
      <w:color w:val="404040" w:themeColor="text1" w:themeTint="BF"/>
    </w:rPr>
  </w:style>
  <w:style w:type="paragraph" w:styleId="Liststycke">
    <w:name w:val="List Paragraph"/>
    <w:basedOn w:val="Normal"/>
    <w:uiPriority w:val="34"/>
    <w:qFormat/>
    <w:rsid w:val="00B07E16"/>
    <w:pPr>
      <w:ind w:left="720"/>
      <w:contextualSpacing/>
    </w:pPr>
  </w:style>
  <w:style w:type="character" w:styleId="Starkbetoning">
    <w:name w:val="Intense Emphasis"/>
    <w:basedOn w:val="Standardstycketeckensnitt"/>
    <w:uiPriority w:val="21"/>
    <w:qFormat/>
    <w:rsid w:val="00B07E16"/>
    <w:rPr>
      <w:i/>
      <w:iCs/>
      <w:color w:val="0F4761" w:themeColor="accent1" w:themeShade="BF"/>
    </w:rPr>
  </w:style>
  <w:style w:type="paragraph" w:styleId="Starktcitat">
    <w:name w:val="Intense Quote"/>
    <w:basedOn w:val="Normal"/>
    <w:next w:val="Normal"/>
    <w:link w:val="StarktcitatChar"/>
    <w:uiPriority w:val="30"/>
    <w:qFormat/>
    <w:rsid w:val="00B0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07E16"/>
    <w:rPr>
      <w:i/>
      <w:iCs/>
      <w:color w:val="0F4761" w:themeColor="accent1" w:themeShade="BF"/>
    </w:rPr>
  </w:style>
  <w:style w:type="character" w:styleId="Starkreferens">
    <w:name w:val="Intense Reference"/>
    <w:basedOn w:val="Standardstycketeckensnitt"/>
    <w:uiPriority w:val="32"/>
    <w:qFormat/>
    <w:rsid w:val="00B07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1723</Characters>
  <Application>Microsoft Office Word</Application>
  <DocSecurity>0</DocSecurity>
  <Lines>31</Lines>
  <Paragraphs>5</Paragraphs>
  <ScaleCrop>false</ScaleCrop>
  <HeadingPairs>
    <vt:vector size="2" baseType="variant">
      <vt:variant>
        <vt:lpstr>Rubrik</vt:lpstr>
      </vt:variant>
      <vt:variant>
        <vt:i4>1</vt:i4>
      </vt:variant>
    </vt:vector>
  </HeadingPairs>
  <TitlesOfParts>
    <vt:vector size="1" baseType="lpstr">
      <vt:lpstr/>
    </vt:vector>
  </TitlesOfParts>
  <Company>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Krantz</dc:creator>
  <cp:keywords/>
  <dc:description/>
  <cp:lastModifiedBy>Magnus Krantz</cp:lastModifiedBy>
  <cp:revision>1</cp:revision>
  <dcterms:created xsi:type="dcterms:W3CDTF">2026-06-23T17:11:00Z</dcterms:created>
  <dcterms:modified xsi:type="dcterms:W3CDTF">2026-06-23T17:34:00Z</dcterms:modified>
</cp:coreProperties>
</file>